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О плане работы Совета городского округа</w:t>
      </w:r>
      <w:r w:rsidR="00BB3B05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B914B1">
        <w:rPr>
          <w:bCs/>
          <w:sz w:val="28"/>
          <w:szCs w:val="28"/>
        </w:rPr>
        <w:t>202</w:t>
      </w:r>
      <w:r w:rsidR="00E44BDB">
        <w:rPr>
          <w:bCs/>
          <w:sz w:val="28"/>
          <w:szCs w:val="28"/>
        </w:rPr>
        <w:t>1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104CCD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>учитывая постановление Президиума Совета городского округа город Стерлита</w:t>
      </w:r>
      <w:r w:rsidR="00E44BDB">
        <w:rPr>
          <w:sz w:val="28"/>
          <w:szCs w:val="28"/>
        </w:rPr>
        <w:t>мак Республики Башкортостан № 5-1/2</w:t>
      </w:r>
      <w:r w:rsidR="00CB5583">
        <w:rPr>
          <w:sz w:val="28"/>
          <w:szCs w:val="28"/>
        </w:rPr>
        <w:t xml:space="preserve"> от </w:t>
      </w:r>
      <w:r w:rsidR="00E44BDB">
        <w:rPr>
          <w:sz w:val="28"/>
          <w:szCs w:val="28"/>
        </w:rPr>
        <w:t>07</w:t>
      </w:r>
      <w:r w:rsidR="00CB5583">
        <w:rPr>
          <w:sz w:val="28"/>
          <w:szCs w:val="28"/>
        </w:rPr>
        <w:t>.1</w:t>
      </w:r>
      <w:r w:rsidR="00E44BDB">
        <w:rPr>
          <w:sz w:val="28"/>
          <w:szCs w:val="28"/>
        </w:rPr>
        <w:t>2.2020</w:t>
      </w:r>
      <w:r w:rsidR="00CB5583">
        <w:rPr>
          <w:sz w:val="28"/>
          <w:szCs w:val="28"/>
        </w:rPr>
        <w:t xml:space="preserve">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F31C82">
        <w:rPr>
          <w:sz w:val="28"/>
        </w:rPr>
        <w:t>20</w:t>
      </w:r>
      <w:r w:rsidR="00E44BDB">
        <w:rPr>
          <w:sz w:val="28"/>
        </w:rPr>
        <w:t>21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proofErr w:type="spellStart"/>
      <w:r w:rsidR="00E44BDB">
        <w:rPr>
          <w:sz w:val="28"/>
          <w:szCs w:val="28"/>
        </w:rPr>
        <w:t>С.В.Бойков</w:t>
      </w:r>
      <w:proofErr w:type="spellEnd"/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3197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</w:t>
      </w:r>
      <w:r w:rsidR="00E44BDB">
        <w:rPr>
          <w:sz w:val="28"/>
          <w:szCs w:val="28"/>
        </w:rPr>
        <w:t>1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764B50" w:rsidRPr="00E4300B" w:rsidRDefault="00764B50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="00E44BDB">
              <w:rPr>
                <w:rFonts w:ascii="TNRCyrBash" w:hAnsi="TNRCyrBash"/>
                <w:szCs w:val="28"/>
                <w:lang w:eastAsia="en-US"/>
              </w:rPr>
              <w:t>3</w:t>
            </w:r>
            <w:r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BB3B05" w:rsidRPr="00E4300B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2</w:t>
            </w:r>
            <w:r w:rsidR="00E44BDB">
              <w:rPr>
                <w:rFonts w:ascii="TNRCyrBash" w:hAnsi="TNRCyrBash"/>
                <w:szCs w:val="28"/>
                <w:lang w:eastAsia="en-US"/>
              </w:rPr>
              <w:t>5</w:t>
            </w:r>
            <w:r w:rsidRPr="00E4300B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BB3B05" w:rsidRPr="00E4300B" w:rsidRDefault="00E44B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августа,</w:t>
            </w:r>
          </w:p>
          <w:p w:rsidR="00BB3B05" w:rsidRPr="00E4300B" w:rsidRDefault="00E44B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BB3B05" w:rsidRPr="00E4300B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24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BB3B05" w:rsidRPr="00160B43" w:rsidTr="00A83FD5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423D8A">
                  <w:pPr>
                    <w:spacing w:line="276" w:lineRule="auto"/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BB3B05" w:rsidRPr="00160B43" w:rsidTr="00A83FD5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160B43">
              <w:rPr>
                <w:szCs w:val="28"/>
                <w:lang w:eastAsia="en-US"/>
              </w:rPr>
              <w:lastRenderedPageBreak/>
              <w:t>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 w:rsidR="00423D8A">
              <w:rPr>
                <w:szCs w:val="28"/>
                <w:lang w:eastAsia="en-US"/>
              </w:rPr>
              <w:t xml:space="preserve"> Республики Башкортостан за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423D8A"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EE1D87" w:rsidP="00423D8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</w:t>
            </w:r>
            <w:r w:rsidR="00423D8A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Республики </w:t>
            </w:r>
            <w:r w:rsidRPr="00160B43">
              <w:rPr>
                <w:szCs w:val="28"/>
                <w:lang w:eastAsia="en-US"/>
              </w:rPr>
              <w:lastRenderedPageBreak/>
              <w:t>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«прямых телефонов»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  <w:r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отчетов перед избирателями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Депутаты Совета</w:t>
            </w:r>
            <w:r>
              <w:rPr>
                <w:szCs w:val="28"/>
                <w:lang w:eastAsia="en-US"/>
              </w:rPr>
              <w:t>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до 8 июня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8 июня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76-летию годовщины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Начало декабря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 w:rsidR="00167866">
              <w:rPr>
                <w:szCs w:val="28"/>
                <w:lang w:eastAsia="en-US"/>
              </w:rPr>
              <w:t>, распоряжений главы городского окрга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2021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2017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Рассмотрение поступивших обращений, </w:t>
            </w:r>
            <w:r w:rsidRPr="00160B43">
              <w:rPr>
                <w:szCs w:val="28"/>
                <w:lang w:eastAsia="en-US"/>
              </w:rPr>
              <w:lastRenderedPageBreak/>
              <w:t>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Члены президиума, </w:t>
            </w:r>
            <w:r w:rsidRPr="00160B43">
              <w:rPr>
                <w:szCs w:val="28"/>
                <w:lang w:eastAsia="en-US"/>
              </w:rPr>
              <w:lastRenderedPageBreak/>
              <w:t>депутаты,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proofErr w:type="gramStart"/>
            <w:r w:rsidRPr="00160B43">
              <w:rPr>
                <w:szCs w:val="28"/>
                <w:lang w:eastAsia="en-US"/>
              </w:rPr>
              <w:t xml:space="preserve">Совета </w:t>
            </w:r>
            <w:r w:rsidR="00660855">
              <w:rPr>
                <w:szCs w:val="28"/>
                <w:lang w:eastAsia="en-US"/>
              </w:rPr>
              <w:t>,</w:t>
            </w:r>
            <w:proofErr w:type="gramEnd"/>
            <w:r w:rsidR="00660855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консультирования депутатов по правовым вопросам</w:t>
            </w:r>
            <w:bookmarkStart w:id="0" w:name="_GoBack"/>
            <w:bookmarkEnd w:id="0"/>
            <w:r w:rsidRPr="00160B43">
              <w:rPr>
                <w:szCs w:val="28"/>
                <w:lang w:eastAsia="en-US"/>
              </w:rPr>
              <w:t xml:space="preserve">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proofErr w:type="gramStart"/>
            <w:r w:rsidRPr="00160B43">
              <w:rPr>
                <w:szCs w:val="28"/>
                <w:lang w:eastAsia="en-US"/>
              </w:rPr>
              <w:t xml:space="preserve">Совета </w:t>
            </w:r>
            <w:r w:rsidR="00660855">
              <w:rPr>
                <w:szCs w:val="28"/>
                <w:lang w:eastAsia="en-US"/>
              </w:rPr>
              <w:t>,</w:t>
            </w:r>
            <w:proofErr w:type="gramEnd"/>
            <w:r w:rsidR="00660855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proofErr w:type="gramStart"/>
            <w:r w:rsidRPr="00160B43">
              <w:rPr>
                <w:szCs w:val="28"/>
                <w:lang w:eastAsia="en-US"/>
              </w:rPr>
              <w:t xml:space="preserve">Совета </w:t>
            </w:r>
            <w:r w:rsidR="00660855">
              <w:rPr>
                <w:szCs w:val="28"/>
                <w:lang w:eastAsia="en-US"/>
              </w:rPr>
              <w:t>,</w:t>
            </w:r>
            <w:proofErr w:type="gramEnd"/>
            <w:r w:rsidR="00660855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77280"/>
    <w:rsid w:val="00082D67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67866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140AD"/>
    <w:rsid w:val="004233BD"/>
    <w:rsid w:val="00423D8A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31979"/>
    <w:rsid w:val="00653F2F"/>
    <w:rsid w:val="00660855"/>
    <w:rsid w:val="006752CF"/>
    <w:rsid w:val="006A5476"/>
    <w:rsid w:val="006B1D7A"/>
    <w:rsid w:val="006E419C"/>
    <w:rsid w:val="0074076E"/>
    <w:rsid w:val="00742B35"/>
    <w:rsid w:val="00753482"/>
    <w:rsid w:val="0075484C"/>
    <w:rsid w:val="00764B50"/>
    <w:rsid w:val="007710AA"/>
    <w:rsid w:val="00774E64"/>
    <w:rsid w:val="007B2FFE"/>
    <w:rsid w:val="00821DCD"/>
    <w:rsid w:val="008279E6"/>
    <w:rsid w:val="00833F71"/>
    <w:rsid w:val="00840AA6"/>
    <w:rsid w:val="00851902"/>
    <w:rsid w:val="00852D5E"/>
    <w:rsid w:val="008726DB"/>
    <w:rsid w:val="008765C0"/>
    <w:rsid w:val="008C3B7D"/>
    <w:rsid w:val="008D76A0"/>
    <w:rsid w:val="00920075"/>
    <w:rsid w:val="009355F5"/>
    <w:rsid w:val="00965A26"/>
    <w:rsid w:val="009707E4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67F4"/>
    <w:rsid w:val="00AA202C"/>
    <w:rsid w:val="00AD506D"/>
    <w:rsid w:val="00AD637B"/>
    <w:rsid w:val="00B331F6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E0E25"/>
    <w:rsid w:val="00DF051C"/>
    <w:rsid w:val="00E32E59"/>
    <w:rsid w:val="00E44BDB"/>
    <w:rsid w:val="00E51585"/>
    <w:rsid w:val="00E801A6"/>
    <w:rsid w:val="00E916E2"/>
    <w:rsid w:val="00EE1D87"/>
    <w:rsid w:val="00F018D9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36B7-BF17-48B8-B9CB-205CCEC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40</cp:revision>
  <cp:lastPrinted>2020-12-10T06:24:00Z</cp:lastPrinted>
  <dcterms:created xsi:type="dcterms:W3CDTF">2013-12-27T06:37:00Z</dcterms:created>
  <dcterms:modified xsi:type="dcterms:W3CDTF">2020-12-10T06:25:00Z</dcterms:modified>
</cp:coreProperties>
</file>