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F7" w:rsidRDefault="000F36F7" w:rsidP="000F36F7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36F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0F36F7" w:rsidRDefault="000F36F7" w:rsidP="000F36F7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6F7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0F36F7" w:rsidRDefault="000F36F7" w:rsidP="000F36F7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6F7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:rsidR="000F36F7" w:rsidRDefault="000F36F7" w:rsidP="000F36F7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6F7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:rsidR="000F36F7" w:rsidRDefault="000F36F7" w:rsidP="000F36F7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6F7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0F36F7" w:rsidRPr="000F36F7" w:rsidRDefault="000F36F7" w:rsidP="000F36F7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6F7">
        <w:rPr>
          <w:rFonts w:ascii="Times New Roman" w:hAnsi="Times New Roman" w:cs="Times New Roman"/>
          <w:sz w:val="24"/>
          <w:szCs w:val="24"/>
        </w:rPr>
        <w:t>от 18.07.2017 года № 3</w:t>
      </w:r>
    </w:p>
    <w:p w:rsidR="000F36F7" w:rsidRPr="000F36F7" w:rsidRDefault="000F36F7" w:rsidP="000F36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1844" w:rsidRPr="000F36F7" w:rsidRDefault="00E91844" w:rsidP="000F36F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F36F7">
        <w:rPr>
          <w:rFonts w:ascii="Times New Roman" w:hAnsi="Times New Roman"/>
          <w:sz w:val="24"/>
          <w:szCs w:val="24"/>
        </w:rPr>
        <w:t xml:space="preserve">Положение </w:t>
      </w:r>
    </w:p>
    <w:p w:rsidR="00E91844" w:rsidRPr="000F36F7" w:rsidRDefault="00E91844" w:rsidP="000F36F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F36F7">
        <w:rPr>
          <w:rFonts w:ascii="Times New Roman" w:hAnsi="Times New Roman"/>
          <w:sz w:val="24"/>
          <w:szCs w:val="24"/>
        </w:rPr>
        <w:t>о Комиссии по поступлению и выбытию активов</w:t>
      </w:r>
    </w:p>
    <w:p w:rsidR="00E91844" w:rsidRPr="000F36F7" w:rsidRDefault="00E91844" w:rsidP="000F36F7"/>
    <w:p w:rsidR="00E91844" w:rsidRPr="000F36F7" w:rsidRDefault="00E91844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1. На основании требований Приказа Минфина России № 157н от 01.12.2010г. в учреждении создается постоянно действующая </w:t>
      </w:r>
      <w:r w:rsidRPr="000F36F7">
        <w:rPr>
          <w:rFonts w:ascii="Times New Roman" w:hAnsi="Times New Roman"/>
          <w:b/>
          <w:i/>
        </w:rPr>
        <w:t xml:space="preserve">Комиссия по поступлению и выбытию активов </w:t>
      </w:r>
      <w:r w:rsidRPr="000F36F7">
        <w:rPr>
          <w:rFonts w:ascii="Times New Roman" w:hAnsi="Times New Roman"/>
        </w:rPr>
        <w:t xml:space="preserve">(далее – Комиссия). </w:t>
      </w:r>
    </w:p>
    <w:p w:rsidR="00A43231" w:rsidRPr="000F36F7" w:rsidRDefault="00A43231" w:rsidP="000F36F7">
      <w:pPr>
        <w:pStyle w:val="2"/>
        <w:ind w:firstLine="0"/>
        <w:rPr>
          <w:rFonts w:ascii="Times New Roman" w:hAnsi="Times New Roman"/>
        </w:rPr>
      </w:pPr>
    </w:p>
    <w:p w:rsidR="00A43231" w:rsidRPr="000F36F7" w:rsidRDefault="00DD5FCE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2. </w:t>
      </w:r>
      <w:r w:rsidR="00A43231" w:rsidRPr="000F36F7">
        <w:rPr>
          <w:rFonts w:ascii="Times New Roman" w:hAnsi="Times New Roman"/>
        </w:rPr>
        <w:t xml:space="preserve">Персональный состав Комиссии устанавливается Приказом руководителя Учреждения. </w:t>
      </w:r>
    </w:p>
    <w:p w:rsidR="00A43231" w:rsidRPr="000F36F7" w:rsidRDefault="00A43231" w:rsidP="000F36F7">
      <w:pPr>
        <w:pStyle w:val="2"/>
        <w:ind w:left="360" w:firstLine="0"/>
        <w:rPr>
          <w:rFonts w:ascii="Times New Roman" w:hAnsi="Times New Roman"/>
        </w:rPr>
      </w:pPr>
    </w:p>
    <w:p w:rsidR="004E5563" w:rsidRPr="000F36F7" w:rsidRDefault="00E91844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3. Комиссия определяет отдельные вопросы поступления и выбытия всех видов нефинансовых активов, установленные в настоящем Положении. </w:t>
      </w:r>
    </w:p>
    <w:p w:rsidR="00A43231" w:rsidRPr="000F36F7" w:rsidRDefault="00A43231" w:rsidP="000F36F7">
      <w:pPr>
        <w:pStyle w:val="2"/>
        <w:ind w:firstLine="0"/>
        <w:rPr>
          <w:rFonts w:ascii="Times New Roman" w:hAnsi="Times New Roman"/>
        </w:rPr>
      </w:pPr>
    </w:p>
    <w:p w:rsidR="00F41E1F" w:rsidRPr="000F36F7" w:rsidRDefault="00F41E1F" w:rsidP="000F36F7">
      <w:pPr>
        <w:pStyle w:val="2"/>
        <w:ind w:firstLine="0"/>
        <w:jc w:val="center"/>
        <w:rPr>
          <w:rFonts w:ascii="Times New Roman" w:hAnsi="Times New Roman"/>
          <w:b/>
        </w:rPr>
      </w:pPr>
      <w:r w:rsidRPr="000F36F7">
        <w:rPr>
          <w:rFonts w:ascii="Times New Roman" w:hAnsi="Times New Roman"/>
          <w:b/>
        </w:rPr>
        <w:t>Порядок принятия решения об определении справедливой стоимости активов</w:t>
      </w:r>
    </w:p>
    <w:p w:rsidR="00F41E1F" w:rsidRPr="000F36F7" w:rsidRDefault="00F41E1F" w:rsidP="000F36F7">
      <w:pPr>
        <w:pStyle w:val="2"/>
        <w:ind w:firstLine="0"/>
        <w:rPr>
          <w:rFonts w:ascii="Times New Roman" w:hAnsi="Times New Roman"/>
        </w:rPr>
      </w:pPr>
    </w:p>
    <w:p w:rsidR="00F41E1F" w:rsidRPr="000F36F7" w:rsidRDefault="00F41E1F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4. Справедливая стоимость актива определяется методом рыночных цен в следующих случаях: </w:t>
      </w:r>
    </w:p>
    <w:p w:rsidR="00F41E1F" w:rsidRPr="000F36F7" w:rsidRDefault="00F41E1F" w:rsidP="000F36F7">
      <w:pPr>
        <w:pStyle w:val="2"/>
        <w:numPr>
          <w:ilvl w:val="0"/>
          <w:numId w:val="5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При безвозмездном поступлении имущества от организаций (за исключением государственных или муниципальных) и от физических лиц </w:t>
      </w:r>
    </w:p>
    <w:p w:rsidR="00F41E1F" w:rsidRPr="000F36F7" w:rsidRDefault="00F41E1F" w:rsidP="000F36F7">
      <w:pPr>
        <w:pStyle w:val="2"/>
        <w:numPr>
          <w:ilvl w:val="0"/>
          <w:numId w:val="5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При выявлении излишков по результатам инвентаризации </w:t>
      </w:r>
    </w:p>
    <w:p w:rsidR="00F41E1F" w:rsidRPr="000F36F7" w:rsidRDefault="00F41E1F" w:rsidP="000F36F7">
      <w:pPr>
        <w:pStyle w:val="2"/>
        <w:numPr>
          <w:ilvl w:val="0"/>
          <w:numId w:val="5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При принятии к учету деталей, узлов, механизмов от списания основных средств, а также лома, ветоши, макулатуры, остающихся от списания или ремонта нефинансовых активов</w:t>
      </w:r>
    </w:p>
    <w:p w:rsidR="00F41E1F" w:rsidRPr="000F36F7" w:rsidRDefault="00F41E1F" w:rsidP="000F36F7">
      <w:pPr>
        <w:pStyle w:val="2"/>
        <w:numPr>
          <w:ilvl w:val="0"/>
          <w:numId w:val="5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При принятии к учету спецоборудования или экспериментальных устройств, остающихся у учреждения после окончания НИР</w:t>
      </w:r>
    </w:p>
    <w:p w:rsidR="00F41E1F" w:rsidRPr="000F36F7" w:rsidRDefault="00F41E1F" w:rsidP="000F36F7">
      <w:pPr>
        <w:pStyle w:val="2"/>
        <w:numPr>
          <w:ilvl w:val="0"/>
          <w:numId w:val="5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В иных случаях, когда согласно единой методологии бюджетного учета и бюджетной отчетности, установленной в соответствии с бюджетным законодательством РФ, 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требуется определение </w:t>
      </w:r>
      <w:r w:rsidRPr="000F36F7">
        <w:rPr>
          <w:rFonts w:ascii="Times New Roman" w:hAnsi="Times New Roman"/>
          <w:b/>
          <w:i/>
        </w:rPr>
        <w:t>оценочной стоимости имущества</w:t>
      </w:r>
      <w:r w:rsidRPr="000F36F7">
        <w:rPr>
          <w:rFonts w:ascii="Times New Roman" w:hAnsi="Times New Roman"/>
        </w:rPr>
        <w:t xml:space="preserve"> </w:t>
      </w:r>
    </w:p>
    <w:p w:rsidR="00F41E1F" w:rsidRPr="000F36F7" w:rsidRDefault="00F41E1F" w:rsidP="000F36F7">
      <w:pPr>
        <w:pStyle w:val="2"/>
        <w:ind w:left="720" w:firstLine="0"/>
        <w:rPr>
          <w:rFonts w:ascii="Times New Roman" w:hAnsi="Times New Roman"/>
        </w:rPr>
      </w:pPr>
    </w:p>
    <w:p w:rsidR="00F41E1F" w:rsidRPr="000F36F7" w:rsidRDefault="00F41E1F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5. Справедливая стоимость актива определяется методом амортизированной стоимости замещения </w:t>
      </w:r>
      <w:r w:rsidR="00046BDE" w:rsidRPr="000F36F7">
        <w:rPr>
          <w:rFonts w:ascii="Times New Roman" w:hAnsi="Times New Roman"/>
        </w:rPr>
        <w:t xml:space="preserve">при применении СГС «Обесценение активов» в случае если определить справедливую стоимость для оценки величины обесценения представляется Комиссии затруднительным. </w:t>
      </w:r>
    </w:p>
    <w:p w:rsidR="00A43231" w:rsidRPr="000F36F7" w:rsidRDefault="00A43231" w:rsidP="000F36F7">
      <w:pPr>
        <w:pStyle w:val="2"/>
        <w:ind w:firstLine="0"/>
        <w:rPr>
          <w:rFonts w:ascii="Times New Roman" w:hAnsi="Times New Roman"/>
        </w:rPr>
      </w:pPr>
    </w:p>
    <w:p w:rsidR="00D333E9" w:rsidRPr="000F36F7" w:rsidRDefault="00F41E1F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>6.</w:t>
      </w:r>
      <w:r w:rsidR="00D333E9" w:rsidRPr="000F36F7">
        <w:rPr>
          <w:rFonts w:ascii="Times New Roman" w:hAnsi="Times New Roman"/>
        </w:rPr>
        <w:t xml:space="preserve"> При определении </w:t>
      </w:r>
      <w:r w:rsidRPr="000F36F7">
        <w:rPr>
          <w:rFonts w:ascii="Times New Roman" w:hAnsi="Times New Roman"/>
        </w:rPr>
        <w:t>справедливой стоимости методом рыночных цен</w:t>
      </w:r>
      <w:r w:rsidR="00D333E9" w:rsidRPr="000F36F7">
        <w:rPr>
          <w:rFonts w:ascii="Times New Roman" w:hAnsi="Times New Roman"/>
        </w:rPr>
        <w:t xml:space="preserve"> в целях принятия к бухгалтерскому учету объекта нефинансов</w:t>
      </w:r>
      <w:r w:rsidR="00F01536" w:rsidRPr="000F36F7">
        <w:rPr>
          <w:rFonts w:ascii="Times New Roman" w:hAnsi="Times New Roman"/>
        </w:rPr>
        <w:t>ых</w:t>
      </w:r>
      <w:r w:rsidR="00D333E9" w:rsidRPr="000F36F7">
        <w:rPr>
          <w:rFonts w:ascii="Times New Roman" w:hAnsi="Times New Roman"/>
        </w:rPr>
        <w:t xml:space="preserve"> актив</w:t>
      </w:r>
      <w:r w:rsidR="00F01536" w:rsidRPr="000F36F7">
        <w:rPr>
          <w:rFonts w:ascii="Times New Roman" w:hAnsi="Times New Roman"/>
        </w:rPr>
        <w:t>ов</w:t>
      </w:r>
      <w:r w:rsidR="00D333E9" w:rsidRPr="000F36F7">
        <w:rPr>
          <w:rFonts w:ascii="Times New Roman" w:hAnsi="Times New Roman"/>
        </w:rPr>
        <w:t xml:space="preserve"> Комиссией используются:</w:t>
      </w:r>
    </w:p>
    <w:p w:rsidR="00F41E1F" w:rsidRPr="000F36F7" w:rsidRDefault="00F41E1F" w:rsidP="000F36F7">
      <w:pPr>
        <w:pStyle w:val="2"/>
        <w:numPr>
          <w:ilvl w:val="0"/>
          <w:numId w:val="7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Данные </w:t>
      </w:r>
      <w:r w:rsidR="00D333E9" w:rsidRPr="000F36F7">
        <w:rPr>
          <w:rFonts w:ascii="Times New Roman" w:hAnsi="Times New Roman"/>
        </w:rPr>
        <w:t>о ценах на аналогичные материальные ценности, полученные в письменной форме от организаций-изготовителей</w:t>
      </w:r>
      <w:r w:rsidRPr="000F36F7">
        <w:rPr>
          <w:rFonts w:ascii="Times New Roman" w:hAnsi="Times New Roman"/>
        </w:rPr>
        <w:t xml:space="preserve"> или продавцов</w:t>
      </w:r>
    </w:p>
    <w:p w:rsidR="00D333E9" w:rsidRPr="000F36F7" w:rsidRDefault="00F41E1F" w:rsidP="000F36F7">
      <w:pPr>
        <w:pStyle w:val="2"/>
        <w:numPr>
          <w:ilvl w:val="1"/>
          <w:numId w:val="7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При </w:t>
      </w:r>
      <w:r w:rsidR="00FE0411" w:rsidRPr="000F36F7">
        <w:rPr>
          <w:rFonts w:ascii="Times New Roman" w:hAnsi="Times New Roman"/>
        </w:rPr>
        <w:t>принятии</w:t>
      </w:r>
      <w:r w:rsidRPr="000F36F7">
        <w:rPr>
          <w:rFonts w:ascii="Times New Roman" w:hAnsi="Times New Roman"/>
        </w:rPr>
        <w:t xml:space="preserve"> решения для новых объектов – используются сведения не менее чем из трех прайс-листов разных организаций-изготовителей (продавцов) путем расчета среднего арифметического. Используемые прайс-листы (коммерческие предложения) прикладываются к решению Комиссии</w:t>
      </w:r>
    </w:p>
    <w:p w:rsidR="00F41E1F" w:rsidRPr="000F36F7" w:rsidRDefault="00F41E1F" w:rsidP="000F36F7">
      <w:pPr>
        <w:pStyle w:val="2"/>
        <w:numPr>
          <w:ilvl w:val="1"/>
          <w:numId w:val="7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При </w:t>
      </w:r>
      <w:r w:rsidR="00FE0411" w:rsidRPr="000F36F7">
        <w:rPr>
          <w:rFonts w:ascii="Times New Roman" w:hAnsi="Times New Roman"/>
        </w:rPr>
        <w:t xml:space="preserve">принятии </w:t>
      </w:r>
      <w:r w:rsidRPr="000F36F7">
        <w:rPr>
          <w:rFonts w:ascii="Times New Roman" w:hAnsi="Times New Roman"/>
        </w:rPr>
        <w:t>решения для объектов бывших в эксплуатации – используются сведения из специализированных сайтов объявлений (</w:t>
      </w:r>
      <w:r w:rsidRPr="000F36F7">
        <w:rPr>
          <w:rFonts w:ascii="Times New Roman" w:hAnsi="Times New Roman"/>
          <w:lang w:val="en-US"/>
        </w:rPr>
        <w:t>avito</w:t>
      </w:r>
      <w:r w:rsidRPr="000F36F7">
        <w:rPr>
          <w:rFonts w:ascii="Times New Roman" w:hAnsi="Times New Roman"/>
        </w:rPr>
        <w:t>.</w:t>
      </w:r>
      <w:r w:rsidRPr="000F36F7">
        <w:rPr>
          <w:rFonts w:ascii="Times New Roman" w:hAnsi="Times New Roman"/>
          <w:lang w:val="en-US"/>
        </w:rPr>
        <w:t>ru</w:t>
      </w:r>
      <w:r w:rsidRPr="000F36F7">
        <w:rPr>
          <w:rFonts w:ascii="Times New Roman" w:hAnsi="Times New Roman"/>
        </w:rPr>
        <w:t xml:space="preserve">, </w:t>
      </w:r>
      <w:r w:rsidRPr="000F36F7">
        <w:rPr>
          <w:rFonts w:ascii="Times New Roman" w:hAnsi="Times New Roman"/>
          <w:lang w:val="en-US"/>
        </w:rPr>
        <w:t>irr</w:t>
      </w:r>
      <w:r w:rsidRPr="000F36F7">
        <w:rPr>
          <w:rFonts w:ascii="Times New Roman" w:hAnsi="Times New Roman"/>
        </w:rPr>
        <w:t>.</w:t>
      </w:r>
      <w:r w:rsidRPr="000F36F7">
        <w:rPr>
          <w:rFonts w:ascii="Times New Roman" w:hAnsi="Times New Roman"/>
          <w:lang w:val="en-US"/>
        </w:rPr>
        <w:t>ru</w:t>
      </w:r>
      <w:r w:rsidRPr="000F36F7">
        <w:rPr>
          <w:rFonts w:ascii="Times New Roman" w:hAnsi="Times New Roman"/>
        </w:rPr>
        <w:t xml:space="preserve">, </w:t>
      </w:r>
      <w:r w:rsidRPr="000F36F7">
        <w:rPr>
          <w:rFonts w:ascii="Times New Roman" w:hAnsi="Times New Roman"/>
          <w:lang w:val="en-US"/>
        </w:rPr>
        <w:t>auto</w:t>
      </w:r>
      <w:r w:rsidRPr="000F36F7">
        <w:rPr>
          <w:rFonts w:ascii="Times New Roman" w:hAnsi="Times New Roman"/>
        </w:rPr>
        <w:t>.</w:t>
      </w:r>
      <w:r w:rsidRPr="000F36F7">
        <w:rPr>
          <w:rFonts w:ascii="Times New Roman" w:hAnsi="Times New Roman"/>
          <w:lang w:val="en-US"/>
        </w:rPr>
        <w:t>ru</w:t>
      </w:r>
      <w:r w:rsidRPr="000F36F7">
        <w:rPr>
          <w:rFonts w:ascii="Times New Roman" w:hAnsi="Times New Roman"/>
        </w:rPr>
        <w:t xml:space="preserve">, </w:t>
      </w:r>
      <w:r w:rsidRPr="000F36F7">
        <w:rPr>
          <w:rFonts w:ascii="Times New Roman" w:hAnsi="Times New Roman"/>
          <w:lang w:val="en-US"/>
        </w:rPr>
        <w:lastRenderedPageBreak/>
        <w:t>youla</w:t>
      </w:r>
      <w:r w:rsidRPr="000F36F7">
        <w:rPr>
          <w:rFonts w:ascii="Times New Roman" w:hAnsi="Times New Roman"/>
        </w:rPr>
        <w:t>.</w:t>
      </w:r>
      <w:r w:rsidRPr="000F36F7">
        <w:rPr>
          <w:rFonts w:ascii="Times New Roman" w:hAnsi="Times New Roman"/>
          <w:lang w:val="en-US"/>
        </w:rPr>
        <w:t>io</w:t>
      </w:r>
      <w:r w:rsidRPr="000F36F7">
        <w:rPr>
          <w:rFonts w:ascii="Times New Roman" w:hAnsi="Times New Roman"/>
        </w:rPr>
        <w:t xml:space="preserve"> и аналогичных перечисленным), путем расчета среднего арифметического не менее чем из трех объявлений. Использованные при расчете объявления прикладываются к решению Комиссии</w:t>
      </w:r>
    </w:p>
    <w:p w:rsidR="00F4277E" w:rsidRPr="000F36F7" w:rsidRDefault="00F41E1F" w:rsidP="000F36F7">
      <w:pPr>
        <w:pStyle w:val="2"/>
        <w:numPr>
          <w:ilvl w:val="0"/>
          <w:numId w:val="7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Сведения об у</w:t>
      </w:r>
      <w:r w:rsidR="00D333E9" w:rsidRPr="000F36F7">
        <w:rPr>
          <w:rFonts w:ascii="Times New Roman" w:hAnsi="Times New Roman"/>
        </w:rPr>
        <w:t>ровне цен, имеющиеся у органов государственной статистики.</w:t>
      </w:r>
      <w:r w:rsidRPr="000F36F7">
        <w:rPr>
          <w:rFonts w:ascii="Times New Roman" w:hAnsi="Times New Roman"/>
        </w:rPr>
        <w:t xml:space="preserve"> В данном случае к решению Комиссии прикладывается официальный ответ </w:t>
      </w:r>
      <w:r w:rsidR="00F4277E" w:rsidRPr="000F36F7">
        <w:rPr>
          <w:rFonts w:ascii="Times New Roman" w:hAnsi="Times New Roman"/>
        </w:rPr>
        <w:t>от органа статистики или сведения с официального сайта</w:t>
      </w:r>
    </w:p>
    <w:p w:rsidR="00F4277E" w:rsidRPr="000F36F7" w:rsidRDefault="00F4277E" w:rsidP="000F36F7">
      <w:pPr>
        <w:pStyle w:val="2"/>
        <w:numPr>
          <w:ilvl w:val="0"/>
          <w:numId w:val="7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Иные с</w:t>
      </w:r>
      <w:r w:rsidR="00D333E9" w:rsidRPr="000F36F7">
        <w:rPr>
          <w:rFonts w:ascii="Times New Roman" w:hAnsi="Times New Roman"/>
        </w:rPr>
        <w:t xml:space="preserve">ведения об уровне цен, полученные из средств массовой информации (в том числе и из сети </w:t>
      </w:r>
      <w:r w:rsidR="00FE0411" w:rsidRPr="000F36F7">
        <w:rPr>
          <w:rFonts w:ascii="Times New Roman" w:hAnsi="Times New Roman"/>
          <w:lang w:val="en-US"/>
        </w:rPr>
        <w:t>Internet</w:t>
      </w:r>
      <w:r w:rsidRPr="000F36F7">
        <w:rPr>
          <w:rFonts w:ascii="Times New Roman" w:hAnsi="Times New Roman"/>
        </w:rPr>
        <w:t>) и специальной литературы</w:t>
      </w:r>
    </w:p>
    <w:p w:rsidR="00D333E9" w:rsidRPr="000F36F7" w:rsidRDefault="00D333E9" w:rsidP="000F36F7">
      <w:pPr>
        <w:pStyle w:val="2"/>
        <w:numPr>
          <w:ilvl w:val="0"/>
          <w:numId w:val="7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Экспертные заключения (в том числе экспертов, привлеченных на добровольных началах к работе в Комиссии) о стоимости отдельных (аналогичных</w:t>
      </w:r>
      <w:r w:rsidR="00F4277E" w:rsidRPr="000F36F7">
        <w:rPr>
          <w:rFonts w:ascii="Times New Roman" w:hAnsi="Times New Roman"/>
        </w:rPr>
        <w:t>) объектов нефинансовых активов</w:t>
      </w:r>
    </w:p>
    <w:p w:rsidR="00A43231" w:rsidRPr="000F36F7" w:rsidRDefault="00A43231" w:rsidP="000F36F7">
      <w:pPr>
        <w:pStyle w:val="2"/>
        <w:ind w:firstLine="0"/>
        <w:rPr>
          <w:rFonts w:ascii="Times New Roman" w:hAnsi="Times New Roman"/>
        </w:rPr>
      </w:pPr>
    </w:p>
    <w:p w:rsidR="00046BDE" w:rsidRPr="000F36F7" w:rsidRDefault="00046BDE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6.1. В случае если данные о ценах на аналогичные или схожие материальные ценности по каким-либо причинам недоступны, то для своевременного отражения операции в бухгалтерском учете применятся оценочная стоимость в условной оценке равной одному рублю. После получения оценки, Комиссия осуществляет пересмотр ранее установленной стоимости (п. 25 Инструкции 157н). </w:t>
      </w:r>
    </w:p>
    <w:p w:rsidR="00046BDE" w:rsidRPr="000F36F7" w:rsidRDefault="00046BDE" w:rsidP="000F36F7">
      <w:pPr>
        <w:pStyle w:val="2"/>
        <w:ind w:firstLine="0"/>
        <w:rPr>
          <w:rFonts w:ascii="Times New Roman" w:hAnsi="Times New Roman"/>
        </w:rPr>
      </w:pPr>
    </w:p>
    <w:p w:rsidR="00046BDE" w:rsidRPr="000F36F7" w:rsidRDefault="00046BDE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>6.2. Определение справедливой стоимости арендных платежей для объектов учета операционной аренды (п. 27.1 Приказа 258н) производится в порядке, установленном п. 6 настоящего Положения. При этом берутся данные не менее чем из трех коммерческих предложений по аренде аналогичного объекта имущества за весь срок пользования объектом.</w:t>
      </w:r>
    </w:p>
    <w:p w:rsidR="00046BDE" w:rsidRPr="000F36F7" w:rsidRDefault="00046BDE" w:rsidP="000F36F7">
      <w:pPr>
        <w:pStyle w:val="2"/>
        <w:ind w:firstLine="0"/>
        <w:rPr>
          <w:rFonts w:ascii="Times New Roman" w:hAnsi="Times New Roman"/>
        </w:rPr>
      </w:pPr>
    </w:p>
    <w:p w:rsidR="00D333E9" w:rsidRPr="000F36F7" w:rsidRDefault="00F4277E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7. Определение справедливой стоимости методом амортизированной стоимости замещения осуществляется в соответствии с п. 56 Приказа 256н. При этом стоимость полной замены актива рассчитывается на основе рыночной цены покупки аналогичного актива, определяемой в соответствии с п. 6 настоящего Положения. </w:t>
      </w:r>
    </w:p>
    <w:p w:rsidR="00046BDE" w:rsidRPr="000F36F7" w:rsidRDefault="00046BDE" w:rsidP="000F36F7">
      <w:pPr>
        <w:pStyle w:val="2"/>
        <w:ind w:firstLine="0"/>
        <w:rPr>
          <w:rFonts w:ascii="Times New Roman" w:hAnsi="Times New Roman"/>
        </w:rPr>
      </w:pPr>
    </w:p>
    <w:p w:rsidR="00A43231" w:rsidRPr="000F36F7" w:rsidRDefault="00A43231" w:rsidP="000F36F7">
      <w:pPr>
        <w:pStyle w:val="2"/>
        <w:ind w:firstLine="0"/>
        <w:rPr>
          <w:rFonts w:ascii="Times New Roman" w:hAnsi="Times New Roman"/>
        </w:rPr>
      </w:pPr>
    </w:p>
    <w:p w:rsidR="00A43231" w:rsidRPr="000F36F7" w:rsidRDefault="00F4277E" w:rsidP="000F36F7">
      <w:pPr>
        <w:pStyle w:val="2"/>
        <w:ind w:firstLine="0"/>
        <w:jc w:val="center"/>
        <w:rPr>
          <w:rFonts w:ascii="Times New Roman" w:hAnsi="Times New Roman"/>
          <w:b/>
        </w:rPr>
      </w:pPr>
      <w:r w:rsidRPr="000F36F7">
        <w:rPr>
          <w:rFonts w:ascii="Times New Roman" w:hAnsi="Times New Roman"/>
          <w:b/>
        </w:rPr>
        <w:t>Порядок принятия решения об определении кода ОКОФ и срока полезного использования основных средств</w:t>
      </w:r>
    </w:p>
    <w:p w:rsidR="00F4277E" w:rsidRPr="000F36F7" w:rsidRDefault="00F4277E" w:rsidP="000F36F7">
      <w:pPr>
        <w:pStyle w:val="2"/>
        <w:ind w:firstLine="0"/>
        <w:jc w:val="center"/>
        <w:rPr>
          <w:rFonts w:ascii="Times New Roman" w:hAnsi="Times New Roman"/>
          <w:b/>
        </w:rPr>
      </w:pPr>
    </w:p>
    <w:p w:rsidR="00F4277E" w:rsidRPr="000F36F7" w:rsidRDefault="00F4277E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8. Группировка объектов основных средств, принимаемых к учету с 1 января 2017 года, осуществляется в соответствии с группировкой, предусмотренной Общероссийским классификатором основных фондов ОКОФ ОК 013-2014 (СНС)) и сроками полезного использования, определенными положениями постановления Правительства Российской Федерации от 1 января 2002 г. N 1 "О классификации основных средств, включаемых в амортизационные группы" (в редакции постановления Правительства Российской Федерации от 7 июля 2016 г. N 640). В случае невозможности однозначного определения кода ОКОФ для таких основных фондов, Комиссия: </w:t>
      </w:r>
    </w:p>
    <w:p w:rsidR="00F4277E" w:rsidRPr="000F36F7" w:rsidRDefault="00F4277E" w:rsidP="000F36F7">
      <w:pPr>
        <w:pStyle w:val="2"/>
        <w:numPr>
          <w:ilvl w:val="0"/>
          <w:numId w:val="9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Определяет код ОКОФ в соответствии с </w:t>
      </w:r>
      <w:r w:rsidR="0098639E" w:rsidRPr="000F36F7">
        <w:rPr>
          <w:rFonts w:ascii="Times New Roman" w:hAnsi="Times New Roman"/>
        </w:rPr>
        <w:t>Классификатором ОК 013-94, а затем переводит указанный код в соответствии с Приказом Федерального агентства по техническому регулированию и метрологии от 21 апреля 2016 г. N 458</w:t>
      </w:r>
    </w:p>
    <w:p w:rsidR="0098639E" w:rsidRPr="000F36F7" w:rsidRDefault="0098639E" w:rsidP="000F36F7">
      <w:pPr>
        <w:pStyle w:val="2"/>
        <w:numPr>
          <w:ilvl w:val="0"/>
          <w:numId w:val="9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В случае наличия противоречий в применении прямого (обратного) переходных ключей, утвержденных Приказом N 458, и ОКОФ ОК 013-2014 (СНС), а также отсутствия позиций в новых кодах ОКОФ ОК 013-2014 (СНС) для объектов учета, ранее включаемых в группы материальных ценностей, по своим критериям являющихся основными средствами,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ОК 013-2014 (СНС)</w:t>
      </w:r>
    </w:p>
    <w:p w:rsidR="0098639E" w:rsidRPr="000F36F7" w:rsidRDefault="0098639E" w:rsidP="000F36F7">
      <w:pPr>
        <w:pStyle w:val="2"/>
        <w:rPr>
          <w:rFonts w:ascii="Times New Roman" w:hAnsi="Times New Roman"/>
        </w:rPr>
      </w:pPr>
    </w:p>
    <w:p w:rsidR="00D333E9" w:rsidRPr="000F36F7" w:rsidRDefault="0098639E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lastRenderedPageBreak/>
        <w:t>9</w:t>
      </w:r>
      <w:r w:rsidR="00F4277E" w:rsidRPr="000F36F7">
        <w:rPr>
          <w:rFonts w:ascii="Times New Roman" w:hAnsi="Times New Roman"/>
        </w:rPr>
        <w:t xml:space="preserve">. </w:t>
      </w:r>
      <w:r w:rsidR="00BB4634" w:rsidRPr="000F36F7">
        <w:rPr>
          <w:rFonts w:ascii="Times New Roman" w:hAnsi="Times New Roman"/>
        </w:rPr>
        <w:t>Срок полезного использования поступающего актива при отсутствии в законодательстве РФ норм, устанавливающих сроки полезного использования имущества в целях начисления амортизации</w:t>
      </w:r>
      <w:r w:rsidRPr="000F36F7">
        <w:rPr>
          <w:rFonts w:ascii="Times New Roman" w:hAnsi="Times New Roman"/>
        </w:rPr>
        <w:t xml:space="preserve"> (в том числе в случае, когда примененный код ОКОФ одновременно определен в нескольких амортизационных группах)</w:t>
      </w:r>
      <w:r w:rsidR="00F3114C" w:rsidRPr="000F36F7">
        <w:rPr>
          <w:rFonts w:ascii="Times New Roman" w:hAnsi="Times New Roman"/>
        </w:rPr>
        <w:t xml:space="preserve">, а также </w:t>
      </w:r>
      <w:r w:rsidR="00BB4634" w:rsidRPr="000F36F7">
        <w:rPr>
          <w:rFonts w:ascii="Times New Roman" w:hAnsi="Times New Roman"/>
        </w:rPr>
        <w:t xml:space="preserve">в случаях отсутствия информации в документах производителя устанавливается решением Комиссии на основании: </w:t>
      </w:r>
    </w:p>
    <w:p w:rsidR="00F4277E" w:rsidRPr="000F36F7" w:rsidRDefault="00BB4634" w:rsidP="000F36F7">
      <w:pPr>
        <w:pStyle w:val="2"/>
        <w:numPr>
          <w:ilvl w:val="0"/>
          <w:numId w:val="8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Ожидаемого срока использования этого объекта в соответствии с ожидаемой п</w:t>
      </w:r>
      <w:r w:rsidR="00F4277E" w:rsidRPr="000F36F7">
        <w:rPr>
          <w:rFonts w:ascii="Times New Roman" w:hAnsi="Times New Roman"/>
        </w:rPr>
        <w:t>роизводительностью или мощностью</w:t>
      </w:r>
    </w:p>
    <w:p w:rsidR="00F4277E" w:rsidRPr="000F36F7" w:rsidRDefault="00BB4634" w:rsidP="000F36F7">
      <w:pPr>
        <w:pStyle w:val="2"/>
        <w:numPr>
          <w:ilvl w:val="0"/>
          <w:numId w:val="8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</w:t>
      </w:r>
    </w:p>
    <w:p w:rsidR="00F4277E" w:rsidRPr="000F36F7" w:rsidRDefault="00BB4634" w:rsidP="000F36F7">
      <w:pPr>
        <w:pStyle w:val="2"/>
        <w:numPr>
          <w:ilvl w:val="0"/>
          <w:numId w:val="8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Нормативно-правовых и других ограничений использования этого объекта</w:t>
      </w:r>
    </w:p>
    <w:p w:rsidR="00F4277E" w:rsidRPr="000F36F7" w:rsidRDefault="00BB4634" w:rsidP="000F36F7">
      <w:pPr>
        <w:pStyle w:val="2"/>
        <w:numPr>
          <w:ilvl w:val="0"/>
          <w:numId w:val="8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Гарантийного срока использования объекта</w:t>
      </w:r>
    </w:p>
    <w:p w:rsidR="00A43231" w:rsidRPr="000F36F7" w:rsidRDefault="00A43231" w:rsidP="000F36F7">
      <w:pPr>
        <w:pStyle w:val="2"/>
        <w:rPr>
          <w:rFonts w:ascii="Times New Roman" w:hAnsi="Times New Roman"/>
        </w:rPr>
      </w:pPr>
    </w:p>
    <w:p w:rsidR="00BB4634" w:rsidRPr="000F36F7" w:rsidRDefault="0098639E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9. </w:t>
      </w:r>
      <w:r w:rsidR="00BB4634" w:rsidRPr="000F36F7">
        <w:rPr>
          <w:rFonts w:ascii="Times New Roman" w:hAnsi="Times New Roman"/>
        </w:rPr>
        <w:t xml:space="preserve">Срок полезного использования по активам, бывшим в употреблении и полученным учреждением безвозмездно от юридических </w:t>
      </w:r>
      <w:r w:rsidR="00A43231" w:rsidRPr="000F36F7">
        <w:rPr>
          <w:rFonts w:ascii="Times New Roman" w:hAnsi="Times New Roman"/>
        </w:rPr>
        <w:t xml:space="preserve">(физических) </w:t>
      </w:r>
      <w:r w:rsidR="00BB4634" w:rsidRPr="000F36F7">
        <w:rPr>
          <w:rFonts w:ascii="Times New Roman" w:hAnsi="Times New Roman"/>
        </w:rPr>
        <w:t>лиц, не являющихся субъектами бюджетного учета и от физических лиц</w:t>
      </w:r>
      <w:r w:rsidR="001815F7" w:rsidRPr="000F36F7">
        <w:rPr>
          <w:rFonts w:ascii="Times New Roman" w:hAnsi="Times New Roman"/>
        </w:rPr>
        <w:t xml:space="preserve">, определяется Комиссией аналогично п. </w:t>
      </w:r>
      <w:r w:rsidRPr="000F36F7">
        <w:rPr>
          <w:rFonts w:ascii="Times New Roman" w:hAnsi="Times New Roman"/>
        </w:rPr>
        <w:t>9</w:t>
      </w:r>
      <w:r w:rsidR="001815F7" w:rsidRPr="000F36F7">
        <w:rPr>
          <w:rFonts w:ascii="Times New Roman" w:hAnsi="Times New Roman"/>
        </w:rPr>
        <w:t xml:space="preserve"> настоящего Положения. </w:t>
      </w:r>
    </w:p>
    <w:p w:rsidR="00A43231" w:rsidRPr="000F36F7" w:rsidRDefault="00A43231" w:rsidP="000F36F7">
      <w:pPr>
        <w:pStyle w:val="2"/>
        <w:ind w:firstLine="0"/>
        <w:rPr>
          <w:rFonts w:ascii="Times New Roman" w:hAnsi="Times New Roman"/>
        </w:rPr>
      </w:pPr>
    </w:p>
    <w:p w:rsidR="0098639E" w:rsidRPr="000F36F7" w:rsidRDefault="0098639E" w:rsidP="000F36F7">
      <w:pPr>
        <w:pStyle w:val="2"/>
        <w:ind w:firstLine="0"/>
        <w:jc w:val="center"/>
        <w:rPr>
          <w:rFonts w:ascii="Times New Roman" w:hAnsi="Times New Roman"/>
          <w:b/>
        </w:rPr>
      </w:pPr>
      <w:r w:rsidRPr="000F36F7">
        <w:rPr>
          <w:rFonts w:ascii="Times New Roman" w:hAnsi="Times New Roman"/>
          <w:b/>
        </w:rPr>
        <w:t>Порядок принятия решения об изменении первоначальной стоимости активов</w:t>
      </w:r>
      <w:r w:rsidR="007665E2" w:rsidRPr="000F36F7">
        <w:rPr>
          <w:rFonts w:ascii="Times New Roman" w:hAnsi="Times New Roman"/>
          <w:b/>
        </w:rPr>
        <w:t xml:space="preserve"> (основных средств)</w:t>
      </w:r>
    </w:p>
    <w:p w:rsidR="0098639E" w:rsidRPr="000F36F7" w:rsidRDefault="0098639E" w:rsidP="000F36F7">
      <w:pPr>
        <w:pStyle w:val="2"/>
        <w:ind w:firstLine="0"/>
        <w:rPr>
          <w:rFonts w:ascii="Times New Roman" w:hAnsi="Times New Roman"/>
        </w:rPr>
      </w:pPr>
    </w:p>
    <w:p w:rsidR="00E54128" w:rsidRPr="000F36F7" w:rsidRDefault="00E54128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>10. Изменение балансовой стоимости объекта основных средств после его признания в бухгалтерском учете возможно в случаях:</w:t>
      </w:r>
    </w:p>
    <w:p w:rsidR="00E54128" w:rsidRPr="000F36F7" w:rsidRDefault="00E54128" w:rsidP="000F36F7">
      <w:pPr>
        <w:pStyle w:val="2"/>
        <w:numPr>
          <w:ilvl w:val="0"/>
          <w:numId w:val="10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достройки, дооборудования, реконструкции, в том числе с элементами реставрации, технического перевооружения, модернизации, частичной ликвидации (разукомплектации)</w:t>
      </w:r>
    </w:p>
    <w:p w:rsidR="00E54128" w:rsidRPr="000F36F7" w:rsidRDefault="00E54128" w:rsidP="000F36F7">
      <w:pPr>
        <w:pStyle w:val="2"/>
        <w:numPr>
          <w:ilvl w:val="0"/>
          <w:numId w:val="10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замещения (частичной замены в рамках капитального ремонта в целях реконструкции, технического перевооружения, модернизации) объекта или его составной части</w:t>
      </w:r>
    </w:p>
    <w:p w:rsidR="00E54128" w:rsidRPr="000F36F7" w:rsidRDefault="00E54128" w:rsidP="000F36F7">
      <w:pPr>
        <w:pStyle w:val="2"/>
        <w:numPr>
          <w:ilvl w:val="0"/>
          <w:numId w:val="10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переоценки объектов основных средств</w:t>
      </w:r>
    </w:p>
    <w:p w:rsidR="00E54128" w:rsidRPr="000F36F7" w:rsidRDefault="00E54128" w:rsidP="000F36F7">
      <w:pPr>
        <w:pStyle w:val="2"/>
        <w:ind w:firstLine="0"/>
        <w:rPr>
          <w:rFonts w:ascii="Times New Roman" w:hAnsi="Times New Roman"/>
        </w:rPr>
      </w:pPr>
    </w:p>
    <w:p w:rsidR="00A43231" w:rsidRPr="000F36F7" w:rsidRDefault="00EF2931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>11</w:t>
      </w:r>
      <w:r w:rsidR="00A43231" w:rsidRPr="000F36F7">
        <w:rPr>
          <w:rFonts w:ascii="Times New Roman" w:hAnsi="Times New Roman"/>
        </w:rPr>
        <w:t xml:space="preserve">. Разукомплектация и частичная ликвидация основных средств оформляется решением Комиссии и оформляется Актом о разукомплектации. При этом Комиссией определяется: </w:t>
      </w:r>
    </w:p>
    <w:p w:rsidR="00A43231" w:rsidRPr="000F36F7" w:rsidRDefault="00A43231" w:rsidP="000F36F7">
      <w:pPr>
        <w:pStyle w:val="2"/>
        <w:numPr>
          <w:ilvl w:val="0"/>
          <w:numId w:val="4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балансовая стоимость объект</w:t>
      </w:r>
      <w:r w:rsidR="00EF2931" w:rsidRPr="000F36F7">
        <w:rPr>
          <w:rFonts w:ascii="Times New Roman" w:hAnsi="Times New Roman"/>
        </w:rPr>
        <w:t>ов, остающихся</w:t>
      </w:r>
      <w:r w:rsidRPr="000F36F7">
        <w:rPr>
          <w:rFonts w:ascii="Times New Roman" w:hAnsi="Times New Roman"/>
        </w:rPr>
        <w:t xml:space="preserve"> после разукомплектации, а также </w:t>
      </w:r>
      <w:r w:rsidR="00EF2931" w:rsidRPr="000F36F7">
        <w:rPr>
          <w:rFonts w:ascii="Times New Roman" w:hAnsi="Times New Roman"/>
        </w:rPr>
        <w:t>суммы</w:t>
      </w:r>
      <w:r w:rsidRPr="000F36F7">
        <w:rPr>
          <w:rFonts w:ascii="Times New Roman" w:hAnsi="Times New Roman"/>
        </w:rPr>
        <w:t xml:space="preserve"> начисленной амортизации</w:t>
      </w:r>
      <w:r w:rsidR="00EF2931" w:rsidRPr="000F36F7">
        <w:rPr>
          <w:rFonts w:ascii="Times New Roman" w:hAnsi="Times New Roman"/>
        </w:rPr>
        <w:t>, относящиеся к этим объектам</w:t>
      </w:r>
    </w:p>
    <w:p w:rsidR="00A43231" w:rsidRPr="000F36F7" w:rsidRDefault="00A43231" w:rsidP="000F36F7">
      <w:pPr>
        <w:pStyle w:val="2"/>
        <w:numPr>
          <w:ilvl w:val="0"/>
          <w:numId w:val="4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стоимости частей, </w:t>
      </w:r>
      <w:r w:rsidR="00EF2931" w:rsidRPr="000F36F7">
        <w:rPr>
          <w:rFonts w:ascii="Times New Roman" w:hAnsi="Times New Roman"/>
        </w:rPr>
        <w:t>списываемых</w:t>
      </w:r>
      <w:r w:rsidRPr="000F36F7">
        <w:rPr>
          <w:rFonts w:ascii="Times New Roman" w:hAnsi="Times New Roman"/>
        </w:rPr>
        <w:t xml:space="preserve"> из объекта и амортизация, относящаяся к этим частям</w:t>
      </w:r>
    </w:p>
    <w:p w:rsidR="00EF2931" w:rsidRPr="000F36F7" w:rsidRDefault="00EF2931" w:rsidP="000F36F7">
      <w:pPr>
        <w:pStyle w:val="2"/>
        <w:rPr>
          <w:rFonts w:ascii="Times New Roman" w:hAnsi="Times New Roman"/>
        </w:rPr>
      </w:pPr>
    </w:p>
    <w:p w:rsidR="00EF2931" w:rsidRPr="000F36F7" w:rsidRDefault="00EF2931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12. При определении списываемых частей объекта основных средств, их стоимость (как часть стоимости объекта основных средств) определяется: </w:t>
      </w:r>
    </w:p>
    <w:p w:rsidR="00A43231" w:rsidRPr="000F36F7" w:rsidRDefault="00EF2931" w:rsidP="000F36F7">
      <w:pPr>
        <w:pStyle w:val="2"/>
        <w:numPr>
          <w:ilvl w:val="0"/>
          <w:numId w:val="11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по документам поставщика, полученным при принятии объекта к учету </w:t>
      </w:r>
    </w:p>
    <w:p w:rsidR="00EF2931" w:rsidRPr="000F36F7" w:rsidRDefault="00EF2931" w:rsidP="000F36F7">
      <w:pPr>
        <w:pStyle w:val="2"/>
        <w:numPr>
          <w:ilvl w:val="0"/>
          <w:numId w:val="11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при отсутствии документов поставщика – по справедливой стоимости, определяемой методом рыночных цен (с учетом срока использования объекта) в соответствии с п. 6 настоящего Положения </w:t>
      </w:r>
    </w:p>
    <w:p w:rsidR="00EF2931" w:rsidRPr="000F36F7" w:rsidRDefault="00EF2931" w:rsidP="000F36F7">
      <w:pPr>
        <w:pStyle w:val="2"/>
        <w:numPr>
          <w:ilvl w:val="0"/>
          <w:numId w:val="11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при отсутствии документов поставщика и при невозможности определения справедливой стоимости – на основании экспертного заключения </w:t>
      </w:r>
    </w:p>
    <w:p w:rsidR="00EF2931" w:rsidRPr="000F36F7" w:rsidRDefault="00EF2931" w:rsidP="000F36F7">
      <w:pPr>
        <w:pStyle w:val="2"/>
        <w:rPr>
          <w:rFonts w:ascii="Times New Roman" w:hAnsi="Times New Roman"/>
        </w:rPr>
      </w:pPr>
    </w:p>
    <w:p w:rsidR="00EF2931" w:rsidRPr="000F36F7" w:rsidRDefault="00EF2931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13. Если после признания объекта основных средств (формирования первоначальной стоимости объекта основных средств) в его балансовую стоимость включаются затраты на замену части объекта, то остаточная стоимость замененной (выбывшей) части объекта основных средств должна быть отнесена на финансовый результат текущего периода (списана с бухгалтерского учета) вне зависимости от того, амортизировалась ли эта часть объекта основных средств отдельно или нет. В случае, когда определить остаточную стоимость замененной части объекта основных средств не представляется возможным, величина относимой на финансовый результат текущего периода </w:t>
      </w:r>
      <w:r w:rsidR="00046BDE" w:rsidRPr="000F36F7">
        <w:rPr>
          <w:rFonts w:ascii="Times New Roman" w:hAnsi="Times New Roman"/>
        </w:rPr>
        <w:t>остаточной стоимости,</w:t>
      </w:r>
      <w:r w:rsidRPr="000F36F7">
        <w:rPr>
          <w:rFonts w:ascii="Times New Roman" w:hAnsi="Times New Roman"/>
        </w:rPr>
        <w:t xml:space="preserve"> </w:t>
      </w:r>
      <w:r w:rsidRPr="000F36F7">
        <w:rPr>
          <w:rFonts w:ascii="Times New Roman" w:hAnsi="Times New Roman"/>
        </w:rPr>
        <w:lastRenderedPageBreak/>
        <w:t xml:space="preserve">замененной (выбывшей) части объекта основных средств может быть эквивалентна затратам на ее замену (приобретения или строительства) на момент их признания (п. 50 Приказа 257н). </w:t>
      </w:r>
    </w:p>
    <w:p w:rsidR="00EF2931" w:rsidRPr="000F36F7" w:rsidRDefault="00EF2931" w:rsidP="000F36F7">
      <w:pPr>
        <w:pStyle w:val="2"/>
        <w:ind w:firstLine="0"/>
        <w:rPr>
          <w:rFonts w:ascii="Times New Roman" w:hAnsi="Times New Roman"/>
        </w:rPr>
      </w:pPr>
    </w:p>
    <w:p w:rsidR="007665E2" w:rsidRPr="000F36F7" w:rsidRDefault="007665E2" w:rsidP="000F36F7">
      <w:pPr>
        <w:pStyle w:val="2"/>
        <w:ind w:firstLine="0"/>
        <w:jc w:val="center"/>
        <w:rPr>
          <w:rFonts w:ascii="Times New Roman" w:hAnsi="Times New Roman"/>
          <w:b/>
        </w:rPr>
      </w:pPr>
      <w:r w:rsidRPr="000F36F7">
        <w:rPr>
          <w:rFonts w:ascii="Times New Roman" w:hAnsi="Times New Roman"/>
          <w:b/>
        </w:rPr>
        <w:t>Порядок принятия решения о списании активов (основных средств)</w:t>
      </w:r>
    </w:p>
    <w:p w:rsidR="007665E2" w:rsidRPr="000F36F7" w:rsidRDefault="007665E2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  <w:b/>
        </w:rPr>
        <w:t xml:space="preserve"> </w:t>
      </w:r>
    </w:p>
    <w:p w:rsidR="00D333E9" w:rsidRPr="000F36F7" w:rsidRDefault="007665E2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>14</w:t>
      </w:r>
      <w:r w:rsidR="001815F7" w:rsidRPr="000F36F7">
        <w:rPr>
          <w:rFonts w:ascii="Times New Roman" w:hAnsi="Times New Roman"/>
        </w:rPr>
        <w:t xml:space="preserve">. Выбытие объектов нефинансовых активов оформляется по основаниям, </w:t>
      </w:r>
      <w:r w:rsidR="000F7DE2" w:rsidRPr="000F36F7">
        <w:rPr>
          <w:rFonts w:ascii="Times New Roman" w:hAnsi="Times New Roman"/>
        </w:rPr>
        <w:t>определенным решением</w:t>
      </w:r>
      <w:r w:rsidR="001815F7" w:rsidRPr="000F36F7">
        <w:rPr>
          <w:rFonts w:ascii="Times New Roman" w:hAnsi="Times New Roman"/>
        </w:rPr>
        <w:t xml:space="preserve"> Комиссии. При этом 100% амортизация объекта не является основанием для их выбытия. </w:t>
      </w:r>
    </w:p>
    <w:p w:rsidR="007665E2" w:rsidRPr="000F36F7" w:rsidRDefault="007665E2" w:rsidP="000F36F7">
      <w:pPr>
        <w:pStyle w:val="2"/>
        <w:ind w:firstLine="0"/>
        <w:rPr>
          <w:rFonts w:ascii="Times New Roman" w:hAnsi="Times New Roman"/>
        </w:rPr>
      </w:pPr>
    </w:p>
    <w:p w:rsidR="007665E2" w:rsidRPr="000F36F7" w:rsidRDefault="007665E2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>15. Выбытие объекта основных средств производится при прекращении получения экономических выгод или полезного потенциала от дальнейшего использования:</w:t>
      </w:r>
    </w:p>
    <w:p w:rsidR="007665E2" w:rsidRPr="000F36F7" w:rsidRDefault="007665E2" w:rsidP="000F36F7">
      <w:pPr>
        <w:pStyle w:val="2"/>
        <w:numPr>
          <w:ilvl w:val="0"/>
          <w:numId w:val="12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в случае поломки при невозможности или экономической нецелесообразности ремонта объекта</w:t>
      </w:r>
    </w:p>
    <w:p w:rsidR="007665E2" w:rsidRPr="000F36F7" w:rsidRDefault="007665E2" w:rsidP="000F36F7">
      <w:pPr>
        <w:pStyle w:val="2"/>
        <w:numPr>
          <w:ilvl w:val="0"/>
          <w:numId w:val="12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по причине полного физического или морального износа </w:t>
      </w:r>
    </w:p>
    <w:p w:rsidR="007665E2" w:rsidRPr="000F36F7" w:rsidRDefault="007665E2" w:rsidP="000F36F7">
      <w:pPr>
        <w:pStyle w:val="2"/>
        <w:numPr>
          <w:ilvl w:val="0"/>
          <w:numId w:val="12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в иных случаях, обоснованных в решении Комиссии о списании </w:t>
      </w:r>
    </w:p>
    <w:p w:rsidR="00F3114C" w:rsidRPr="000F36F7" w:rsidRDefault="00F3114C" w:rsidP="000F36F7">
      <w:pPr>
        <w:pStyle w:val="2"/>
        <w:ind w:firstLine="0"/>
        <w:rPr>
          <w:rFonts w:ascii="Times New Roman" w:hAnsi="Times New Roman"/>
        </w:rPr>
      </w:pPr>
    </w:p>
    <w:p w:rsidR="007665E2" w:rsidRPr="000F36F7" w:rsidRDefault="007665E2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16. При списании: </w:t>
      </w:r>
    </w:p>
    <w:p w:rsidR="007665E2" w:rsidRPr="000F36F7" w:rsidRDefault="00F3114C" w:rsidP="000F36F7">
      <w:pPr>
        <w:pStyle w:val="2"/>
        <w:numPr>
          <w:ilvl w:val="0"/>
          <w:numId w:val="13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Объектов, пришедших в негодное состояние в результате аварий, пожаров, стихийных бедствий и иных чрезвычайных ситуациях, к документу о списании прилагаются документы, подтверждающие вышеуказанные обстоятельства (копии актов соответствующих учреждений)</w:t>
      </w:r>
    </w:p>
    <w:p w:rsidR="007665E2" w:rsidRPr="000F36F7" w:rsidRDefault="00F3114C" w:rsidP="000F36F7">
      <w:pPr>
        <w:pStyle w:val="2"/>
        <w:numPr>
          <w:ilvl w:val="0"/>
          <w:numId w:val="13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Мебели и иных объектов хозяйственного и мягкого инвентаря – решение о списании принимается Комиссией только после личного осмотра и получения заключения </w:t>
      </w:r>
      <w:r w:rsidR="00631634" w:rsidRPr="000F36F7">
        <w:rPr>
          <w:rFonts w:ascii="Times New Roman" w:hAnsi="Times New Roman"/>
        </w:rPr>
        <w:t>профильного сотрудника учреждения о невозможност</w:t>
      </w:r>
      <w:r w:rsidR="007665E2" w:rsidRPr="000F36F7">
        <w:rPr>
          <w:rFonts w:ascii="Times New Roman" w:hAnsi="Times New Roman"/>
        </w:rPr>
        <w:t>и ремонта указанного имущества</w:t>
      </w:r>
    </w:p>
    <w:p w:rsidR="007665E2" w:rsidRPr="000F36F7" w:rsidRDefault="00631634" w:rsidP="000F36F7">
      <w:pPr>
        <w:pStyle w:val="2"/>
        <w:numPr>
          <w:ilvl w:val="0"/>
          <w:numId w:val="13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 xml:space="preserve">Мелкой бытовой техники и электроники (стоимостью до 50.000 рублей) – решение о списании принимается после получения </w:t>
      </w:r>
      <w:r w:rsidR="00E94F07" w:rsidRPr="000F36F7">
        <w:rPr>
          <w:rFonts w:ascii="Times New Roman" w:hAnsi="Times New Roman"/>
        </w:rPr>
        <w:t>заключения профильного</w:t>
      </w:r>
      <w:r w:rsidRPr="000F36F7">
        <w:rPr>
          <w:rFonts w:ascii="Times New Roman" w:hAnsi="Times New Roman"/>
        </w:rPr>
        <w:t xml:space="preserve"> сотрудника учреждения о невозможности ремонта указанного имущества. А при отсутствии в штате Учреждения профильного сотрудника – после получения технического заключения мастерских по ремонту бытовой техники или </w:t>
      </w:r>
      <w:r w:rsidR="00E94F07" w:rsidRPr="000F36F7">
        <w:rPr>
          <w:rFonts w:ascii="Times New Roman" w:hAnsi="Times New Roman"/>
        </w:rPr>
        <w:t>дефектной ведомости</w:t>
      </w:r>
      <w:r w:rsidRPr="000F36F7">
        <w:rPr>
          <w:rFonts w:ascii="Times New Roman" w:hAnsi="Times New Roman"/>
        </w:rPr>
        <w:t xml:space="preserve"> о невозможности восстановления</w:t>
      </w:r>
    </w:p>
    <w:p w:rsidR="00631634" w:rsidRPr="000F36F7" w:rsidRDefault="00631634" w:rsidP="000F36F7">
      <w:pPr>
        <w:pStyle w:val="2"/>
        <w:numPr>
          <w:ilvl w:val="0"/>
          <w:numId w:val="13"/>
        </w:numPr>
        <w:rPr>
          <w:rFonts w:ascii="Times New Roman" w:hAnsi="Times New Roman"/>
        </w:rPr>
      </w:pPr>
      <w:r w:rsidRPr="000F36F7">
        <w:rPr>
          <w:rFonts w:ascii="Times New Roman" w:hAnsi="Times New Roman"/>
        </w:rPr>
        <w:t>Крупной бытовой техники и дорогостоящей электроники (стоимостью более 50.000 рублей) -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</w:t>
      </w:r>
    </w:p>
    <w:p w:rsidR="00631634" w:rsidRPr="000F36F7" w:rsidRDefault="00631634" w:rsidP="000F36F7">
      <w:pPr>
        <w:pStyle w:val="2"/>
        <w:ind w:firstLine="0"/>
        <w:rPr>
          <w:rFonts w:ascii="Times New Roman" w:hAnsi="Times New Roman"/>
        </w:rPr>
      </w:pPr>
    </w:p>
    <w:p w:rsidR="00631634" w:rsidRPr="000F36F7" w:rsidRDefault="007665E2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>17</w:t>
      </w:r>
      <w:r w:rsidR="00631634" w:rsidRPr="000F36F7">
        <w:rPr>
          <w:rFonts w:ascii="Times New Roman" w:hAnsi="Times New Roman"/>
        </w:rPr>
        <w:t>. В случае необходимости согласования факта распоряжения имуществом с учредителем (собственником) имущества, Комисси</w:t>
      </w:r>
      <w:r w:rsidRPr="000F36F7">
        <w:rPr>
          <w:rFonts w:ascii="Times New Roman" w:hAnsi="Times New Roman"/>
        </w:rPr>
        <w:t>я</w:t>
      </w:r>
      <w:r w:rsidR="00631634" w:rsidRPr="000F36F7">
        <w:rPr>
          <w:rFonts w:ascii="Times New Roman" w:hAnsi="Times New Roman"/>
        </w:rPr>
        <w:t xml:space="preserve"> подготавливает соответствующие документы для направления учредителю (собственнику) имущества. </w:t>
      </w:r>
    </w:p>
    <w:p w:rsidR="00A43231" w:rsidRPr="000F36F7" w:rsidRDefault="00A43231" w:rsidP="000F36F7">
      <w:pPr>
        <w:pStyle w:val="2"/>
        <w:ind w:firstLine="0"/>
        <w:rPr>
          <w:rFonts w:ascii="Times New Roman" w:hAnsi="Times New Roman"/>
        </w:rPr>
      </w:pPr>
    </w:p>
    <w:p w:rsidR="00A43231" w:rsidRPr="000F36F7" w:rsidRDefault="007665E2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>18</w:t>
      </w:r>
      <w:r w:rsidR="001815F7" w:rsidRPr="000F36F7">
        <w:rPr>
          <w:rFonts w:ascii="Times New Roman" w:hAnsi="Times New Roman"/>
        </w:rPr>
        <w:t xml:space="preserve">. Ответственность за формирование Комиссии несет </w:t>
      </w:r>
      <w:r w:rsidRPr="000F36F7">
        <w:rPr>
          <w:rFonts w:ascii="Times New Roman" w:hAnsi="Times New Roman"/>
        </w:rPr>
        <w:t>руководитель</w:t>
      </w:r>
      <w:r w:rsidR="001815F7" w:rsidRPr="000F36F7">
        <w:rPr>
          <w:rFonts w:ascii="Times New Roman" w:hAnsi="Times New Roman"/>
        </w:rPr>
        <w:t xml:space="preserve"> учреждения. </w:t>
      </w:r>
    </w:p>
    <w:p w:rsidR="00A43231" w:rsidRPr="000F36F7" w:rsidRDefault="00A43231" w:rsidP="000F36F7">
      <w:pPr>
        <w:pStyle w:val="2"/>
        <w:ind w:firstLine="0"/>
        <w:rPr>
          <w:rFonts w:ascii="Times New Roman" w:hAnsi="Times New Roman"/>
        </w:rPr>
      </w:pPr>
    </w:p>
    <w:p w:rsidR="001815F7" w:rsidRPr="000F36F7" w:rsidRDefault="007665E2" w:rsidP="000F36F7">
      <w:pPr>
        <w:pStyle w:val="2"/>
        <w:ind w:firstLine="0"/>
        <w:rPr>
          <w:rFonts w:ascii="Times New Roman" w:hAnsi="Times New Roman"/>
        </w:rPr>
      </w:pPr>
      <w:r w:rsidRPr="000F36F7">
        <w:rPr>
          <w:rFonts w:ascii="Times New Roman" w:hAnsi="Times New Roman"/>
        </w:rPr>
        <w:t>19</w:t>
      </w:r>
      <w:r w:rsidR="001815F7" w:rsidRPr="000F36F7">
        <w:rPr>
          <w:rFonts w:ascii="Times New Roman" w:hAnsi="Times New Roman"/>
        </w:rPr>
        <w:t xml:space="preserve">. Ответственность за определения </w:t>
      </w:r>
      <w:r w:rsidRPr="000F36F7">
        <w:rPr>
          <w:rFonts w:ascii="Times New Roman" w:hAnsi="Times New Roman"/>
        </w:rPr>
        <w:t>справедливой (оценочной)</w:t>
      </w:r>
      <w:r w:rsidR="001815F7" w:rsidRPr="000F36F7">
        <w:rPr>
          <w:rFonts w:ascii="Times New Roman" w:hAnsi="Times New Roman"/>
        </w:rPr>
        <w:t xml:space="preserve"> стоимости и срока пол</w:t>
      </w:r>
      <w:r w:rsidRPr="000F36F7">
        <w:rPr>
          <w:rFonts w:ascii="Times New Roman" w:hAnsi="Times New Roman"/>
        </w:rPr>
        <w:t>езного использования согласно несут члены Комиссии.</w:t>
      </w:r>
    </w:p>
    <w:sectPr w:rsidR="001815F7" w:rsidRPr="000F36F7" w:rsidSect="000F3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37" w:rsidRDefault="00662C37" w:rsidP="00A43231">
      <w:r>
        <w:separator/>
      </w:r>
    </w:p>
  </w:endnote>
  <w:endnote w:type="continuationSeparator" w:id="0">
    <w:p w:rsidR="00662C37" w:rsidRDefault="00662C37" w:rsidP="00A4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37" w:rsidRDefault="00662C37" w:rsidP="00A43231">
      <w:r>
        <w:separator/>
      </w:r>
    </w:p>
  </w:footnote>
  <w:footnote w:type="continuationSeparator" w:id="0">
    <w:p w:rsidR="00662C37" w:rsidRDefault="00662C37" w:rsidP="00A4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5AEA"/>
    <w:multiLevelType w:val="hybridMultilevel"/>
    <w:tmpl w:val="1A88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0764"/>
    <w:multiLevelType w:val="hybridMultilevel"/>
    <w:tmpl w:val="201AEE7A"/>
    <w:lvl w:ilvl="0" w:tplc="429CE34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77748"/>
    <w:multiLevelType w:val="hybridMultilevel"/>
    <w:tmpl w:val="B1EE929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0F9F7612"/>
    <w:multiLevelType w:val="hybridMultilevel"/>
    <w:tmpl w:val="A5FA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0085A"/>
    <w:multiLevelType w:val="hybridMultilevel"/>
    <w:tmpl w:val="2A80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A312E"/>
    <w:multiLevelType w:val="hybridMultilevel"/>
    <w:tmpl w:val="BCB0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703B7"/>
    <w:multiLevelType w:val="hybridMultilevel"/>
    <w:tmpl w:val="7936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B62E8"/>
    <w:multiLevelType w:val="hybridMultilevel"/>
    <w:tmpl w:val="650E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659F7"/>
    <w:multiLevelType w:val="hybridMultilevel"/>
    <w:tmpl w:val="40FA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15885"/>
    <w:multiLevelType w:val="hybridMultilevel"/>
    <w:tmpl w:val="8290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839B0"/>
    <w:multiLevelType w:val="hybridMultilevel"/>
    <w:tmpl w:val="5576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B5814"/>
    <w:multiLevelType w:val="hybridMultilevel"/>
    <w:tmpl w:val="82EC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D28DE"/>
    <w:multiLevelType w:val="hybridMultilevel"/>
    <w:tmpl w:val="0C06C8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EAB2E06"/>
    <w:multiLevelType w:val="hybridMultilevel"/>
    <w:tmpl w:val="CF18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44"/>
    <w:rsid w:val="00014FAD"/>
    <w:rsid w:val="0003430B"/>
    <w:rsid w:val="00046BDE"/>
    <w:rsid w:val="000E57BC"/>
    <w:rsid w:val="000F36F7"/>
    <w:rsid w:val="000F7DE2"/>
    <w:rsid w:val="001106F1"/>
    <w:rsid w:val="001815F7"/>
    <w:rsid w:val="001F2928"/>
    <w:rsid w:val="003922E2"/>
    <w:rsid w:val="00432C69"/>
    <w:rsid w:val="004C0CB2"/>
    <w:rsid w:val="004E5563"/>
    <w:rsid w:val="00500E6E"/>
    <w:rsid w:val="00535FF4"/>
    <w:rsid w:val="005609A7"/>
    <w:rsid w:val="00631634"/>
    <w:rsid w:val="00662C37"/>
    <w:rsid w:val="006B733B"/>
    <w:rsid w:val="007665E2"/>
    <w:rsid w:val="00807C40"/>
    <w:rsid w:val="0098639E"/>
    <w:rsid w:val="00A43231"/>
    <w:rsid w:val="00A53F0B"/>
    <w:rsid w:val="00A57699"/>
    <w:rsid w:val="00B61F34"/>
    <w:rsid w:val="00BB4634"/>
    <w:rsid w:val="00D333E9"/>
    <w:rsid w:val="00DA73F7"/>
    <w:rsid w:val="00DD5FCE"/>
    <w:rsid w:val="00E52FBE"/>
    <w:rsid w:val="00E54128"/>
    <w:rsid w:val="00E91844"/>
    <w:rsid w:val="00E94F07"/>
    <w:rsid w:val="00EF2931"/>
    <w:rsid w:val="00F01536"/>
    <w:rsid w:val="00F3114C"/>
    <w:rsid w:val="00F41E1F"/>
    <w:rsid w:val="00F4277E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4751A9-F4EE-4A74-B748-21487A2E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1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18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">
    <w:name w:val="Стиль2"/>
    <w:basedOn w:val="a"/>
    <w:link w:val="20"/>
    <w:qFormat/>
    <w:rsid w:val="00E91844"/>
    <w:pPr>
      <w:autoSpaceDE w:val="0"/>
      <w:autoSpaceDN w:val="0"/>
      <w:adjustRightInd w:val="0"/>
      <w:ind w:firstLine="540"/>
      <w:jc w:val="both"/>
    </w:pPr>
    <w:rPr>
      <w:rFonts w:ascii="Cambria" w:hAnsi="Cambria"/>
      <w:lang w:val="x-none"/>
    </w:rPr>
  </w:style>
  <w:style w:type="character" w:customStyle="1" w:styleId="20">
    <w:name w:val="Стиль2 Знак"/>
    <w:link w:val="2"/>
    <w:rsid w:val="00E91844"/>
    <w:rPr>
      <w:rFonts w:ascii="Cambria" w:eastAsia="Times New Roman" w:hAnsi="Cambr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432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A4323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32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A4323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F36F7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Главный спец Совета ГО</cp:lastModifiedBy>
  <cp:revision>2</cp:revision>
  <dcterms:created xsi:type="dcterms:W3CDTF">2020-02-17T11:59:00Z</dcterms:created>
  <dcterms:modified xsi:type="dcterms:W3CDTF">2020-02-17T11:59:00Z</dcterms:modified>
</cp:coreProperties>
</file>